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pStyle w:val="Title"/>
        <w:spacing w:after="120"/>
      </w:pPr>
      <w:r>
        <w:t xml:space="preserve">Top 10 Framework URLs for Risk Practitioners</w:t>
      </w:r>
    </w:p>
    <w:p>
      <w:pPr>
        <w:spacing w:after="200"/>
      </w:pPr>
      <w:r>
        <w:rPr>
          <w:i/>
          <w:iCs/>
          <w:color w:val="555555"/>
        </w:rPr>
        <w:t xml:space="preserve">Risk NZ Cyber Summit: AI Governance &amp; Risk</w:t>
      </w:r>
    </w:p>
    <w:p>
      <w:pPr>
        <w:spacing w:after="300"/>
      </w:pPr>
      <w:r>
        <w:t xml:space="preserve">Authoritative, framework-based links for risk practitioners to take away, chosen to complement (not duplicate) the sources already cited in the summit presentation.</w:t>
      </w:r>
    </w:p>
    <w:p>
      <w:pPr>
        <w:pBdr>
          <w:bottom w:val="single" w:color="DDDDDD" w:sz="2" w:space="4"/>
        </w:pBdr>
        <w:spacing w:after="40" w:before="0"/>
      </w:pPr>
      <w:r>
        <w:rPr>
          <w:b/>
          <w:bCs/>
        </w:rPr>
        <w:t xml:space="preserve">1. </w:t>
      </w:r>
      <w:r>
        <w:rPr>
          <w:b/>
          <w:bCs/>
        </w:rPr>
        <w:t xml:space="preserve">NIST AI Risk Management Framework (AI RMF 1.0)</w:t>
      </w:r>
    </w:p>
    <w:p>
      <w:pPr>
        <w:spacing w:after="40"/>
      </w:pPr>
      <w:hyperlink w:history="1" r:id="rIdzzrcvzagn-tzrqxaobwdg">
        <w:r>
          <w:rPr>
            <w:rStyle w:val="Hyperlink"/>
          </w:rPr>
          <w:t xml:space="preserve">https://www.nist.gov/itl/ai-risk-management-framework</w:t>
        </w:r>
      </w:hyperlink>
    </w:p>
    <w:p>
      <w:pPr>
        <w:spacing w:after="120"/>
      </w:pPr>
      <w:r>
        <w:rPr>
          <w:color w:val="333333"/>
        </w:rPr>
        <w:t xml:space="preserve">The primary US voluntary framework for identifying, measuring and managing AI risk across the system lifecycle.</w:t>
      </w:r>
    </w:p>
    <w:p>
      <w:pPr>
        <w:pBdr>
          <w:bottom w:val="single" w:color="DDDDDD" w:sz="2" w:space="4"/>
        </w:pBdr>
        <w:spacing w:after="40" w:before="240"/>
      </w:pPr>
      <w:r>
        <w:rPr>
          <w:b/>
          <w:bCs/>
        </w:rPr>
        <w:t xml:space="preserve">2. </w:t>
      </w:r>
      <w:r>
        <w:rPr>
          <w:b/>
          <w:bCs/>
        </w:rPr>
        <w:t xml:space="preserve">NIST AI Resource Center (AIRC)</w:t>
      </w:r>
    </w:p>
    <w:p>
      <w:pPr>
        <w:spacing w:after="40"/>
      </w:pPr>
      <w:hyperlink w:history="1" r:id="rIdwniion4-eu9gk3p8vi3ix">
        <w:r>
          <w:rPr>
            <w:rStyle w:val="Hyperlink"/>
          </w:rPr>
          <w:t xml:space="preserve">https://airc.nist.gov/</w:t>
        </w:r>
      </w:hyperlink>
    </w:p>
    <w:p>
      <w:pPr>
        <w:spacing w:after="120"/>
      </w:pPr>
      <w:r>
        <w:rPr>
          <w:color w:val="333333"/>
        </w:rPr>
        <w:t xml:space="preserve">The practical implementation hub for the AI RMF: playbook, profiles (including the Generative AI Profile), and crosswalks to other standards.</w:t>
      </w:r>
    </w:p>
    <w:p>
      <w:pPr>
        <w:pBdr>
          <w:bottom w:val="single" w:color="DDDDDD" w:sz="2" w:space="4"/>
        </w:pBdr>
        <w:spacing w:after="40" w:before="240"/>
      </w:pPr>
      <w:r>
        <w:rPr>
          <w:b/>
          <w:bCs/>
        </w:rPr>
        <w:t xml:space="preserve">3. </w:t>
      </w:r>
      <w:r>
        <w:rPr>
          <w:b/>
          <w:bCs/>
        </w:rPr>
        <w:t xml:space="preserve">ISO/IEC 42001:2023: AI Management Systems</w:t>
      </w:r>
    </w:p>
    <w:p>
      <w:pPr>
        <w:spacing w:after="40"/>
      </w:pPr>
      <w:hyperlink w:history="1" r:id="rIdppedgwem-8xuu1dzvqleq">
        <w:r>
          <w:rPr>
            <w:rStyle w:val="Hyperlink"/>
          </w:rPr>
          <w:t xml:space="preserve">https://www.iso.org/standard/42001</w:t>
        </w:r>
      </w:hyperlink>
    </w:p>
    <w:p>
      <w:pPr>
        <w:spacing w:after="120"/>
      </w:pPr>
      <w:r>
        <w:rPr>
          <w:color w:val="333333"/>
        </w:rPr>
        <w:t xml:space="preserve">The world's first certifiable AI management system standard.</w:t>
      </w:r>
    </w:p>
    <w:p>
      <w:pPr>
        <w:pBdr>
          <w:bottom w:val="single" w:color="DDDDDD" w:sz="2" w:space="4"/>
        </w:pBdr>
        <w:spacing w:after="40" w:before="240"/>
      </w:pPr>
      <w:r>
        <w:rPr>
          <w:b/>
          <w:bCs/>
        </w:rPr>
        <w:t xml:space="preserve">4. </w:t>
      </w:r>
      <w:r>
        <w:rPr>
          <w:b/>
          <w:bCs/>
        </w:rPr>
        <w:t xml:space="preserve">OWASP Top 10 for LLM Applications</w:t>
      </w:r>
    </w:p>
    <w:p>
      <w:pPr>
        <w:spacing w:after="40"/>
      </w:pPr>
      <w:hyperlink w:history="1" r:id="rIdzprmpgoah3lyvmvs6dxlf">
        <w:r>
          <w:rPr>
            <w:rStyle w:val="Hyperlink"/>
          </w:rPr>
          <w:t xml:space="preserve">https://genai.owasp.org/llm-top-10/</w:t>
        </w:r>
      </w:hyperlink>
    </w:p>
    <w:p>
      <w:pPr>
        <w:spacing w:after="120"/>
      </w:pPr>
      <w:r>
        <w:rPr>
          <w:color w:val="333333"/>
        </w:rPr>
        <w:t xml:space="preserve">The standard reference for LLM-specific security risks: prompt injection, data leakage, insecure output handling, and more.</w:t>
      </w:r>
    </w:p>
    <w:p>
      <w:pPr>
        <w:pBdr>
          <w:bottom w:val="single" w:color="DDDDDD" w:sz="2" w:space="4"/>
        </w:pBdr>
        <w:spacing w:after="40" w:before="240"/>
      </w:pPr>
      <w:r>
        <w:rPr>
          <w:b/>
          <w:bCs/>
        </w:rPr>
        <w:t xml:space="preserve">5. </w:t>
      </w:r>
      <w:r>
        <w:rPr>
          <w:b/>
          <w:bCs/>
        </w:rPr>
        <w:t xml:space="preserve">MITRE ATLAS</w:t>
      </w:r>
    </w:p>
    <w:p>
      <w:pPr>
        <w:spacing w:after="40"/>
      </w:pPr>
      <w:hyperlink w:history="1" r:id="rIdmgwdnl8i_tdqrf3z13cvf">
        <w:r>
          <w:rPr>
            <w:rStyle w:val="Hyperlink"/>
          </w:rPr>
          <w:t xml:space="preserve">https://atlas.mitre.org/</w:t>
        </w:r>
      </w:hyperlink>
    </w:p>
    <w:p>
      <w:pPr>
        <w:spacing w:after="120"/>
      </w:pPr>
      <w:r>
        <w:rPr>
          <w:color w:val="333333"/>
        </w:rPr>
        <w:t xml:space="preserve">Adversarial Threat Landscape for AI Systems: the MITRE ATT&amp;CK equivalent for AI, mapping real-world attack tactics and techniques against AI systems.</w:t>
      </w:r>
    </w:p>
    <w:p>
      <w:pPr>
        <w:pBdr>
          <w:bottom w:val="single" w:color="DDDDDD" w:sz="2" w:space="4"/>
        </w:pBdr>
        <w:spacing w:after="40" w:before="240"/>
      </w:pPr>
      <w:r>
        <w:rPr>
          <w:b/>
          <w:bCs/>
        </w:rPr>
        <w:t xml:space="preserve">6. </w:t>
      </w:r>
      <w:r>
        <w:rPr>
          <w:b/>
          <w:bCs/>
        </w:rPr>
        <w:t xml:space="preserve">EU AI Act: Official Consolidated Text</w:t>
      </w:r>
    </w:p>
    <w:p>
      <w:pPr>
        <w:spacing w:after="40"/>
      </w:pPr>
      <w:hyperlink w:history="1" r:id="rId_hw9plbcy0ibfc0jp56px">
        <w:r>
          <w:rPr>
            <w:rStyle w:val="Hyperlink"/>
          </w:rPr>
          <w:t xml:space="preserve">https://artificialintelligenceact.eu/the-act/</w:t>
        </w:r>
      </w:hyperlink>
    </w:p>
    <w:p>
      <w:pPr>
        <w:spacing w:after="120"/>
      </w:pPr>
      <w:r>
        <w:rPr>
          <w:color w:val="333333"/>
        </w:rPr>
        <w:t xml:space="preserve">The first binding, cross-sector AI law with extraterritorial reach.</w:t>
      </w:r>
    </w:p>
    <w:p>
      <w:pPr>
        <w:pBdr>
          <w:bottom w:val="single" w:color="DDDDDD" w:sz="2" w:space="4"/>
        </w:pBdr>
        <w:spacing w:after="40" w:before="240"/>
      </w:pPr>
      <w:r>
        <w:rPr>
          <w:b/>
          <w:bCs/>
        </w:rPr>
        <w:t xml:space="preserve">7. </w:t>
      </w:r>
      <w:r>
        <w:rPr>
          <w:b/>
          <w:bCs/>
        </w:rPr>
        <w:t xml:space="preserve">EU AI Act: Article 14, Human Oversight</w:t>
      </w:r>
    </w:p>
    <w:p>
      <w:pPr>
        <w:spacing w:after="40"/>
      </w:pPr>
      <w:hyperlink w:history="1" r:id="rIdte2gevcn2vzpdyicv9lf1">
        <w:r>
          <w:rPr>
            <w:rStyle w:val="Hyperlink"/>
          </w:rPr>
          <w:t xml:space="preserve">https://artificialintelligenceact.eu/article/14/</w:t>
        </w:r>
      </w:hyperlink>
    </w:p>
    <w:p>
      <w:pPr>
        <w:spacing w:after="120"/>
      </w:pPr>
      <w:r>
        <w:rPr>
          <w:color w:val="333333"/>
        </w:rPr>
        <w:t xml:space="preserve">The specific article requiring meaningful human oversight of high-risk AI systems.</w:t>
      </w:r>
    </w:p>
    <w:p>
      <w:pPr>
        <w:pBdr>
          <w:bottom w:val="single" w:color="DDDDDD" w:sz="2" w:space="4"/>
        </w:pBdr>
        <w:spacing w:after="40" w:before="240"/>
      </w:pPr>
      <w:r>
        <w:rPr>
          <w:b/>
          <w:bCs/>
        </w:rPr>
        <w:t xml:space="preserve">8. </w:t>
      </w:r>
      <w:r>
        <w:rPr>
          <w:b/>
          <w:bCs/>
        </w:rPr>
        <w:t xml:space="preserve">OECD AI Principles</w:t>
      </w:r>
    </w:p>
    <w:p>
      <w:pPr>
        <w:spacing w:after="40"/>
      </w:pPr>
      <w:hyperlink w:history="1" r:id="rIdvdsr8z0cki1qdl9dumuep">
        <w:r>
          <w:rPr>
            <w:rStyle w:val="Hyperlink"/>
          </w:rPr>
          <w:t xml:space="preserve">https://oecd.ai/en/ai-principles</w:t>
        </w:r>
      </w:hyperlink>
    </w:p>
    <w:p>
      <w:pPr>
        <w:spacing w:after="120"/>
      </w:pPr>
      <w:r>
        <w:rPr>
          <w:color w:val="333333"/>
        </w:rPr>
        <w:t xml:space="preserve">The values-based principles (human-centred, transparent, accountable AI) underpinning most national AI policy, including New Zealand's approach.</w:t>
      </w:r>
    </w:p>
    <w:p>
      <w:pPr>
        <w:pBdr>
          <w:bottom w:val="single" w:color="DDDDDD" w:sz="2" w:space="4"/>
        </w:pBdr>
        <w:spacing w:after="40" w:before="240"/>
      </w:pPr>
      <w:r>
        <w:rPr>
          <w:b/>
          <w:bCs/>
        </w:rPr>
        <w:t xml:space="preserve">9. </w:t>
      </w:r>
      <w:r>
        <w:rPr>
          <w:b/>
          <w:bCs/>
        </w:rPr>
        <w:t xml:space="preserve">NZ Public Service AI Framework</w:t>
      </w:r>
    </w:p>
    <w:p>
      <w:pPr>
        <w:spacing w:after="40"/>
      </w:pPr>
      <w:hyperlink w:history="1" r:id="rIdryl981mv-clgaubdqiiml">
        <w:r>
          <w:rPr>
            <w:rStyle w:val="Hyperlink"/>
          </w:rPr>
          <w:t xml:space="preserve">https://www.digital.govt.nz/standards-and-guidance/technology-and-architecture/artificial-intelligence/public-service-artificial-intelligence-framework</w:t>
        </w:r>
      </w:hyperlink>
    </w:p>
    <w:p>
      <w:pPr>
        <w:spacing w:after="120"/>
      </w:pPr>
      <w:r>
        <w:rPr>
          <w:color w:val="333333"/>
        </w:rPr>
        <w:t xml:space="preserve">The local, NZ-government-issued framework for responsible AI use.</w:t>
      </w:r>
    </w:p>
    <w:p>
      <w:pPr>
        <w:pBdr>
          <w:bottom w:val="single" w:color="DDDDDD" w:sz="2" w:space="4"/>
        </w:pBdr>
        <w:spacing w:after="40" w:before="240"/>
      </w:pPr>
      <w:r>
        <w:rPr>
          <w:b/>
          <w:bCs/>
        </w:rPr>
        <w:t xml:space="preserve">10. </w:t>
      </w:r>
      <w:r>
        <w:rPr>
          <w:b/>
          <w:bCs/>
        </w:rPr>
        <w:t xml:space="preserve">NZ Algorithm Charter for Aotearoa</w:t>
      </w:r>
    </w:p>
    <w:p>
      <w:pPr>
        <w:spacing w:after="40"/>
      </w:pPr>
      <w:hyperlink w:history="1" r:id="rId1ynmx9l6zwidi-zpisn7g">
        <w:r>
          <w:rPr>
            <w:rStyle w:val="Hyperlink"/>
          </w:rPr>
          <w:t xml:space="preserve">https://data.govt.nz/toolkit/data-ethics/government-algorithm-transparency-and-accountability/algorithm-charter</w:t>
        </w:r>
      </w:hyperlink>
    </w:p>
    <w:p>
      <w:pPr>
        <w:spacing w:after="120"/>
      </w:pPr>
      <w:r>
        <w:rPr>
          <w:color w:val="333333"/>
        </w:rPr>
        <w:t xml:space="preserve">New Zealand's own transparency-and-accountability commitment for algorithms used in government.</w:t>
      </w:r>
    </w:p>
    <w:p>
      <w:pPr>
        <w:spacing w:before="300"/>
      </w:pPr>
      <w:r>
        <w:rPr>
          <w:i/>
          <w:iCs/>
          <w:color w:val="888888"/>
          <w:sz w:val="18"/>
          <w:szCs w:val="18"/>
        </w:rPr>
        <w:t xml:space="preserve">Verified via web search, July 2026.</w:t>
      </w:r>
    </w:p>
    <w:sectPr>
      <w:pgSz w:w="12240" w:h="15840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zzrcvzagn-tzrqxaobwdg" Type="http://schemas.openxmlformats.org/officeDocument/2006/relationships/hyperlink" Target="https://www.nist.gov/itl/ai-risk-management-framework" TargetMode="External"/><Relationship Id="rIdwniion4-eu9gk3p8vi3ix" Type="http://schemas.openxmlformats.org/officeDocument/2006/relationships/hyperlink" Target="https://airc.nist.gov/" TargetMode="External"/><Relationship Id="rIdppedgwem-8xuu1dzvqleq" Type="http://schemas.openxmlformats.org/officeDocument/2006/relationships/hyperlink" Target="https://www.iso.org/standard/42001" TargetMode="External"/><Relationship Id="rIdzprmpgoah3lyvmvs6dxlf" Type="http://schemas.openxmlformats.org/officeDocument/2006/relationships/hyperlink" Target="https://genai.owasp.org/llm-top-10/" TargetMode="External"/><Relationship Id="rIdmgwdnl8i_tdqrf3z13cvf" Type="http://schemas.openxmlformats.org/officeDocument/2006/relationships/hyperlink" Target="https://atlas.mitre.org/" TargetMode="External"/><Relationship Id="rId_hw9plbcy0ibfc0jp56px" Type="http://schemas.openxmlformats.org/officeDocument/2006/relationships/hyperlink" Target="https://artificialintelligenceact.eu/the-act/" TargetMode="External"/><Relationship Id="rIdte2gevcn2vzpdyicv9lf1" Type="http://schemas.openxmlformats.org/officeDocument/2006/relationships/hyperlink" Target="https://artificialintelligenceact.eu/article/14/" TargetMode="External"/><Relationship Id="rIdvdsr8z0cki1qdl9dumuep" Type="http://schemas.openxmlformats.org/officeDocument/2006/relationships/hyperlink" Target="https://oecd.ai/en/ai-principles" TargetMode="External"/><Relationship Id="rIdryl981mv-clgaubdqiiml" Type="http://schemas.openxmlformats.org/officeDocument/2006/relationships/hyperlink" Target="https://www.digital.govt.nz/standards-and-guidance/technology-and-architecture/artificial-intelligence/public-service-artificial-intelligence-framework" TargetMode="External"/><Relationship Id="rId1ynmx9l6zwidi-zpisn7g" Type="http://schemas.openxmlformats.org/officeDocument/2006/relationships/hyperlink" Target="https://data.govt.nz/toolkit/data-ethics/government-algorithm-transparency-and-accountability/algorithm-charter" TargetMode="External"/><Relationship Id="rId1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2026-07-21T19:33:01.502Z</dcterms:created>
  <dcterms:modified xsi:type="dcterms:W3CDTF">2026-07-21T19:33:01.502Z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